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2A7DB4">
      <w:pPr>
        <w:jc w:val="center"/>
        <w:rPr>
          <w:rFonts w:hint="eastAsia" w:ascii="黑体" w:hAnsi="黑体" w:eastAsia="黑体"/>
          <w:sz w:val="32"/>
          <w:szCs w:val="32"/>
        </w:rPr>
      </w:pPr>
      <w:bookmarkStart w:id="0" w:name="_Hlk191144668"/>
      <w:r>
        <w:rPr>
          <w:rFonts w:ascii="黑体" w:hAnsi="黑体" w:eastAsia="黑体"/>
          <w:sz w:val="32"/>
          <w:szCs w:val="32"/>
        </w:rPr>
        <w:t>上海科技大学</w:t>
      </w:r>
      <w:bookmarkEnd w:id="0"/>
    </w:p>
    <w:p w14:paraId="59ECD490">
      <w:pPr>
        <w:adjustRightInd w:val="0"/>
        <w:snapToGrid w:val="0"/>
        <w:spacing w:line="480" w:lineRule="exact"/>
        <w:jc w:val="center"/>
        <w:rPr>
          <w:rFonts w:hint="eastAsia" w:ascii="黑体" w:hAnsi="黑体" w:eastAsia="黑体"/>
          <w:sz w:val="32"/>
          <w:szCs w:val="32"/>
        </w:rPr>
      </w:pPr>
      <w:r>
        <w:rPr>
          <w:rFonts w:hint="eastAsia" w:ascii="黑体" w:hAnsi="黑体" w:eastAsia="黑体"/>
          <w:sz w:val="32"/>
          <w:szCs w:val="32"/>
        </w:rPr>
        <w:t>机械</w:t>
      </w:r>
      <w:bookmarkStart w:id="1" w:name="_Hlk191145073"/>
      <w:r>
        <w:rPr>
          <w:rFonts w:hint="eastAsia" w:ascii="黑体" w:hAnsi="黑体" w:eastAsia="黑体"/>
          <w:sz w:val="32"/>
          <w:szCs w:val="32"/>
        </w:rPr>
        <w:t>（</w:t>
      </w:r>
      <w:r>
        <w:rPr>
          <w:rFonts w:hint="eastAsia" w:ascii="Times New Roman" w:hAnsi="Times New Roman" w:eastAsia="黑体" w:cs="Times New Roman"/>
          <w:sz w:val="32"/>
          <w:szCs w:val="32"/>
        </w:rPr>
        <w:t>0855</w:t>
      </w:r>
      <w:r>
        <w:rPr>
          <w:rFonts w:hint="eastAsia" w:ascii="黑体" w:hAnsi="黑体" w:eastAsia="黑体"/>
          <w:sz w:val="32"/>
          <w:szCs w:val="32"/>
        </w:rPr>
        <w:t>）</w:t>
      </w:r>
      <w:bookmarkEnd w:id="1"/>
      <w:r>
        <w:rPr>
          <w:rFonts w:ascii="黑体" w:hAnsi="黑体" w:eastAsia="黑体"/>
          <w:sz w:val="32"/>
          <w:szCs w:val="32"/>
        </w:rPr>
        <w:t>专业</w:t>
      </w:r>
      <w:r>
        <w:rPr>
          <w:rFonts w:hint="eastAsia" w:ascii="黑体" w:hAnsi="黑体" w:eastAsia="黑体"/>
          <w:sz w:val="32"/>
          <w:szCs w:val="32"/>
        </w:rPr>
        <w:t>学位</w:t>
      </w:r>
      <w:r>
        <w:rPr>
          <w:rFonts w:ascii="黑体" w:hAnsi="黑体" w:eastAsia="黑体"/>
          <w:sz w:val="32"/>
          <w:szCs w:val="32"/>
        </w:rPr>
        <w:t>硕士研究生</w:t>
      </w:r>
    </w:p>
    <w:p w14:paraId="0B252442">
      <w:pPr>
        <w:adjustRightInd w:val="0"/>
        <w:snapToGrid w:val="0"/>
        <w:spacing w:line="480" w:lineRule="exact"/>
        <w:jc w:val="center"/>
        <w:rPr>
          <w:rFonts w:hint="eastAsia" w:ascii="黑体" w:hAnsi="黑体" w:eastAsia="黑体"/>
          <w:sz w:val="32"/>
          <w:szCs w:val="32"/>
        </w:rPr>
      </w:pPr>
      <w:r>
        <w:rPr>
          <w:rFonts w:ascii="黑体" w:hAnsi="黑体" w:eastAsia="黑体"/>
          <w:sz w:val="32"/>
          <w:szCs w:val="32"/>
        </w:rPr>
        <w:t>开题中期实施细则</w:t>
      </w:r>
    </w:p>
    <w:p w14:paraId="2AEC9E7E">
      <w:pPr>
        <w:rPr>
          <w:rFonts w:hint="eastAsia" w:ascii="微软雅黑" w:hAnsi="微软雅黑" w:eastAsia="微软雅黑"/>
          <w:szCs w:val="21"/>
        </w:rPr>
      </w:pPr>
    </w:p>
    <w:p w14:paraId="5289092F">
      <w:pPr>
        <w:ind w:firstLine="420"/>
        <w:rPr>
          <w:rFonts w:hint="eastAsia" w:ascii="黑体" w:hAnsi="黑体" w:eastAsia="黑体"/>
          <w:b/>
          <w:bCs/>
          <w:sz w:val="28"/>
          <w:szCs w:val="28"/>
        </w:rPr>
      </w:pPr>
      <w:r>
        <w:rPr>
          <w:rFonts w:ascii="黑体" w:hAnsi="黑体" w:eastAsia="黑体"/>
          <w:b/>
          <w:bCs/>
          <w:sz w:val="28"/>
          <w:szCs w:val="28"/>
        </w:rPr>
        <w:t>一、总则</w:t>
      </w:r>
    </w:p>
    <w:p w14:paraId="725669A3">
      <w:pPr>
        <w:spacing w:line="360" w:lineRule="auto"/>
        <w:ind w:firstLine="420"/>
        <w:rPr>
          <w:rFonts w:ascii="Times New Roman" w:hAnsi="Times New Roman" w:eastAsia="宋体" w:cs="Times New Roman"/>
          <w:sz w:val="24"/>
        </w:rPr>
      </w:pPr>
      <w:r>
        <w:rPr>
          <w:rFonts w:ascii="Times New Roman" w:hAnsi="Times New Roman" w:eastAsia="宋体" w:cs="Times New Roman"/>
          <w:sz w:val="24"/>
        </w:rPr>
        <w:t>本细则由</w:t>
      </w:r>
      <w:bookmarkStart w:id="2" w:name="_Hlk183533592"/>
      <w:r>
        <w:rPr>
          <w:rFonts w:ascii="Times New Roman" w:hAnsi="Times New Roman" w:eastAsia="宋体" w:cs="Times New Roman"/>
          <w:sz w:val="24"/>
        </w:rPr>
        <w:t>创意与艺术学院</w:t>
      </w:r>
      <w:bookmarkEnd w:id="2"/>
      <w:r>
        <w:rPr>
          <w:rFonts w:ascii="Times New Roman" w:hAnsi="Times New Roman" w:eastAsia="宋体" w:cs="Times New Roman"/>
          <w:sz w:val="24"/>
        </w:rPr>
        <w:t>（以下简称“创艺学院”）机械专业学位委员会根据《机械（0855）专业学位硕士研究生培养方案（2025级版）》的要求制订，适用于创艺学院机械专业学位硕士研究生。</w:t>
      </w:r>
    </w:p>
    <w:p w14:paraId="781F8873">
      <w:pPr>
        <w:ind w:firstLine="420"/>
        <w:rPr>
          <w:rFonts w:hint="eastAsia" w:ascii="黑体" w:hAnsi="黑体" w:eastAsia="黑体"/>
          <w:b/>
          <w:bCs/>
          <w:sz w:val="28"/>
          <w:szCs w:val="28"/>
        </w:rPr>
      </w:pPr>
      <w:r>
        <w:rPr>
          <w:rFonts w:ascii="黑体" w:hAnsi="黑体" w:eastAsia="黑体"/>
          <w:b/>
          <w:bCs/>
          <w:sz w:val="28"/>
          <w:szCs w:val="28"/>
        </w:rPr>
        <w:t>二、开题报告</w:t>
      </w:r>
    </w:p>
    <w:p w14:paraId="7FF77E80">
      <w:pPr>
        <w:spacing w:line="360" w:lineRule="auto"/>
        <w:ind w:firstLine="420"/>
        <w:rPr>
          <w:rFonts w:ascii="Times New Roman" w:hAnsi="Times New Roman" w:eastAsia="宋体" w:cs="Times New Roman"/>
          <w:sz w:val="24"/>
        </w:rPr>
      </w:pPr>
      <w:r>
        <w:rPr>
          <w:rFonts w:ascii="Times New Roman" w:hAnsi="Times New Roman" w:eastAsia="宋体" w:cs="Times New Roman"/>
          <w:b/>
          <w:bCs/>
          <w:sz w:val="24"/>
        </w:rPr>
        <w:t>时间：</w:t>
      </w:r>
      <w:r>
        <w:rPr>
          <w:rFonts w:ascii="Times New Roman" w:hAnsi="Times New Roman" w:eastAsia="宋体" w:cs="Times New Roman"/>
          <w:sz w:val="24"/>
        </w:rPr>
        <w:t>开题报告一般应在第二学年秋学期</w:t>
      </w:r>
      <w:r>
        <w:rPr>
          <w:rFonts w:hint="eastAsia" w:ascii="Times New Roman" w:hAnsi="Times New Roman" w:eastAsia="宋体" w:cs="Times New Roman"/>
          <w:sz w:val="24"/>
          <w:lang w:val="en-US" w:eastAsia="zh-CN"/>
        </w:rPr>
        <w:t>10月底</w:t>
      </w:r>
      <w:r>
        <w:rPr>
          <w:rFonts w:ascii="Times New Roman" w:hAnsi="Times New Roman" w:eastAsia="宋体" w:cs="Times New Roman"/>
          <w:sz w:val="24"/>
        </w:rPr>
        <w:t>前完成。在导师所在单位要求的考核时间内完成考核和系统录入。如学生开题报告未按时完成，原则上需延长一个学期毕业。</w:t>
      </w:r>
    </w:p>
    <w:p w14:paraId="54BCE4AB">
      <w:pPr>
        <w:spacing w:line="360" w:lineRule="auto"/>
        <w:ind w:firstLine="420"/>
        <w:rPr>
          <w:rFonts w:ascii="Times New Roman" w:hAnsi="Times New Roman" w:eastAsia="宋体" w:cs="Times New Roman"/>
          <w:sz w:val="24"/>
        </w:rPr>
      </w:pPr>
      <w:r>
        <w:rPr>
          <w:rFonts w:ascii="Times New Roman" w:hAnsi="Times New Roman" w:eastAsia="宋体" w:cs="Times New Roman"/>
          <w:b/>
          <w:bCs/>
          <w:sz w:val="24"/>
        </w:rPr>
        <w:t>地点：</w:t>
      </w:r>
      <w:bookmarkStart w:id="3" w:name="_Hlk184207043"/>
      <w:r>
        <w:rPr>
          <w:rFonts w:ascii="Times New Roman" w:hAnsi="Times New Roman" w:eastAsia="宋体" w:cs="Times New Roman"/>
          <w:sz w:val="24"/>
        </w:rPr>
        <w:t>实际培养单位</w:t>
      </w:r>
      <w:r>
        <w:rPr>
          <w:rFonts w:hint="eastAsia" w:ascii="Times New Roman" w:hAnsi="Times New Roman" w:eastAsia="宋体" w:cs="Times New Roman"/>
          <w:sz w:val="24"/>
        </w:rPr>
        <w:t>。</w:t>
      </w:r>
    </w:p>
    <w:bookmarkEnd w:id="3"/>
    <w:p w14:paraId="464BED78">
      <w:pPr>
        <w:spacing w:line="360" w:lineRule="auto"/>
        <w:ind w:firstLine="420"/>
        <w:rPr>
          <w:rFonts w:ascii="Times New Roman" w:hAnsi="Times New Roman" w:eastAsia="宋体" w:cs="Times New Roman"/>
          <w:sz w:val="24"/>
        </w:rPr>
      </w:pPr>
      <w:r>
        <w:rPr>
          <w:rFonts w:ascii="Times New Roman" w:hAnsi="Times New Roman" w:eastAsia="宋体" w:cs="Times New Roman"/>
          <w:b/>
          <w:bCs/>
          <w:sz w:val="24"/>
        </w:rPr>
        <w:t>形式：</w:t>
      </w:r>
      <w:bookmarkStart w:id="4" w:name="_Hlk184207040"/>
      <w:r>
        <w:rPr>
          <w:rFonts w:ascii="Times New Roman" w:hAnsi="Times New Roman" w:eastAsia="宋体" w:cs="Times New Roman"/>
          <w:sz w:val="24"/>
        </w:rPr>
        <w:t>由所在培养单位自行组织。如有特殊要求，学院另行通知。</w:t>
      </w:r>
    </w:p>
    <w:bookmarkEnd w:id="4"/>
    <w:p w14:paraId="5C5347C5">
      <w:pPr>
        <w:spacing w:line="360" w:lineRule="auto"/>
        <w:ind w:firstLine="420"/>
        <w:rPr>
          <w:rFonts w:ascii="Times New Roman" w:hAnsi="Times New Roman" w:eastAsia="宋体" w:cs="Times New Roman"/>
          <w:sz w:val="24"/>
        </w:rPr>
      </w:pPr>
      <w:r>
        <w:rPr>
          <w:rFonts w:ascii="Times New Roman" w:hAnsi="Times New Roman" w:eastAsia="宋体" w:cs="Times New Roman"/>
          <w:sz w:val="24"/>
        </w:rPr>
        <w:t>1</w:t>
      </w:r>
      <w:r>
        <w:rPr>
          <w:rFonts w:hint="eastAsia" w:ascii="Times New Roman" w:hAnsi="Times New Roman" w:eastAsia="宋体" w:cs="Times New Roman"/>
          <w:sz w:val="24"/>
        </w:rPr>
        <w:t>．</w:t>
      </w:r>
      <w:r>
        <w:rPr>
          <w:rFonts w:ascii="Times New Roman" w:hAnsi="Times New Roman" w:eastAsia="宋体" w:cs="Times New Roman"/>
          <w:sz w:val="24"/>
        </w:rPr>
        <w:t>考核内容</w:t>
      </w:r>
    </w:p>
    <w:p w14:paraId="1E64C8E4">
      <w:pPr>
        <w:spacing w:line="360" w:lineRule="auto"/>
        <w:ind w:left="420" w:leftChars="200"/>
        <w:rPr>
          <w:rFonts w:ascii="Times New Roman" w:hAnsi="Times New Roman" w:eastAsia="宋体" w:cs="Times New Roman"/>
          <w:sz w:val="24"/>
        </w:rPr>
      </w:pPr>
      <w:r>
        <w:rPr>
          <w:rFonts w:ascii="Times New Roman" w:hAnsi="Times New Roman" w:eastAsia="宋体" w:cs="Times New Roman"/>
          <w:sz w:val="24"/>
        </w:rPr>
        <w:t>1）拟定的学位论文题目；</w:t>
      </w:r>
    </w:p>
    <w:p w14:paraId="1B7B990A">
      <w:pPr>
        <w:spacing w:line="360" w:lineRule="auto"/>
        <w:ind w:left="420" w:leftChars="200"/>
        <w:rPr>
          <w:rFonts w:ascii="Times New Roman" w:hAnsi="Times New Roman" w:eastAsia="宋体" w:cs="Times New Roman"/>
          <w:strike/>
          <w:sz w:val="24"/>
        </w:rPr>
      </w:pPr>
      <w:r>
        <w:rPr>
          <w:rFonts w:ascii="Times New Roman" w:hAnsi="Times New Roman" w:eastAsia="宋体" w:cs="Times New Roman"/>
          <w:sz w:val="24"/>
        </w:rPr>
        <w:t>2）学位论文</w:t>
      </w:r>
      <w:r>
        <w:rPr>
          <w:rFonts w:hint="eastAsia" w:ascii="Times New Roman" w:hAnsi="Times New Roman" w:eastAsia="宋体" w:cs="Times New Roman"/>
          <w:sz w:val="24"/>
        </w:rPr>
        <w:t>选题的背景意义</w:t>
      </w:r>
      <w:r>
        <w:rPr>
          <w:rFonts w:ascii="Times New Roman" w:hAnsi="Times New Roman" w:eastAsia="宋体" w:cs="Times New Roman"/>
          <w:sz w:val="24"/>
        </w:rPr>
        <w:t>、国内外研究现状及发展趋势；</w:t>
      </w:r>
    </w:p>
    <w:p w14:paraId="6FAACFAC">
      <w:pPr>
        <w:spacing w:line="360" w:lineRule="auto"/>
        <w:ind w:left="420" w:leftChars="200"/>
        <w:rPr>
          <w:rFonts w:ascii="Times New Roman" w:hAnsi="Times New Roman" w:eastAsia="宋体" w:cs="Times New Roman"/>
          <w:strike/>
          <w:sz w:val="24"/>
        </w:rPr>
      </w:pPr>
      <w:r>
        <w:rPr>
          <w:rFonts w:ascii="Times New Roman" w:hAnsi="Times New Roman" w:eastAsia="宋体" w:cs="Times New Roman"/>
          <w:sz w:val="24"/>
        </w:rPr>
        <w:t>3）学位论文</w:t>
      </w:r>
      <w:r>
        <w:rPr>
          <w:rFonts w:hint="eastAsia" w:ascii="Times New Roman" w:hAnsi="Times New Roman" w:eastAsia="宋体" w:cs="Times New Roman"/>
          <w:sz w:val="24"/>
        </w:rPr>
        <w:t>的</w:t>
      </w:r>
      <w:r>
        <w:rPr>
          <w:rFonts w:ascii="Times New Roman" w:hAnsi="Times New Roman" w:eastAsia="宋体" w:cs="Times New Roman"/>
          <w:sz w:val="24"/>
        </w:rPr>
        <w:t xml:space="preserve">研究目标、研究内容、拟解决的关键问题； </w:t>
      </w:r>
    </w:p>
    <w:p w14:paraId="06EDFEC9">
      <w:pPr>
        <w:spacing w:line="360" w:lineRule="auto"/>
        <w:ind w:left="420" w:leftChars="200"/>
        <w:rPr>
          <w:rFonts w:ascii="Times New Roman" w:hAnsi="Times New Roman" w:eastAsia="宋体" w:cs="Times New Roman"/>
          <w:strike/>
          <w:sz w:val="24"/>
        </w:rPr>
      </w:pPr>
      <w:r>
        <w:rPr>
          <w:rFonts w:ascii="Times New Roman" w:hAnsi="Times New Roman" w:eastAsia="宋体" w:cs="Times New Roman"/>
          <w:sz w:val="24"/>
        </w:rPr>
        <w:t>4）拟采取的研究方法、技术路线、方案及其可行性研究；</w:t>
      </w:r>
    </w:p>
    <w:p w14:paraId="73541DE3">
      <w:pPr>
        <w:spacing w:line="360" w:lineRule="auto"/>
        <w:ind w:left="420" w:leftChars="200"/>
        <w:rPr>
          <w:rFonts w:ascii="Times New Roman" w:hAnsi="Times New Roman" w:eastAsia="宋体" w:cs="Times New Roman"/>
          <w:sz w:val="24"/>
        </w:rPr>
      </w:pPr>
      <w:r>
        <w:rPr>
          <w:rFonts w:ascii="Times New Roman" w:hAnsi="Times New Roman" w:eastAsia="宋体" w:cs="Times New Roman"/>
          <w:sz w:val="24"/>
        </w:rPr>
        <w:t>5）课题的创新性；</w:t>
      </w:r>
    </w:p>
    <w:p w14:paraId="7D0B887E">
      <w:pPr>
        <w:spacing w:line="360" w:lineRule="auto"/>
        <w:ind w:left="420" w:leftChars="200"/>
        <w:rPr>
          <w:rFonts w:ascii="Times New Roman" w:hAnsi="Times New Roman" w:eastAsia="宋体" w:cs="Times New Roman"/>
          <w:sz w:val="24"/>
        </w:rPr>
      </w:pPr>
      <w:r>
        <w:rPr>
          <w:rFonts w:ascii="Times New Roman" w:hAnsi="Times New Roman" w:eastAsia="宋体" w:cs="Times New Roman"/>
          <w:sz w:val="24"/>
        </w:rPr>
        <w:t>6）学位论文</w:t>
      </w:r>
      <w:r>
        <w:rPr>
          <w:rFonts w:hint="eastAsia" w:ascii="Times New Roman" w:hAnsi="Times New Roman" w:eastAsia="宋体" w:cs="Times New Roman"/>
          <w:sz w:val="24"/>
        </w:rPr>
        <w:t>的时间安排、</w:t>
      </w:r>
      <w:r>
        <w:rPr>
          <w:rFonts w:ascii="Times New Roman" w:hAnsi="Times New Roman" w:eastAsia="宋体" w:cs="Times New Roman"/>
          <w:sz w:val="24"/>
        </w:rPr>
        <w:t>计划进度和预期成果；</w:t>
      </w:r>
    </w:p>
    <w:p w14:paraId="56F6C750">
      <w:pPr>
        <w:spacing w:line="360" w:lineRule="auto"/>
        <w:ind w:left="420" w:leftChars="200"/>
        <w:rPr>
          <w:rFonts w:ascii="Times New Roman" w:hAnsi="Times New Roman" w:eastAsia="宋体" w:cs="Times New Roman"/>
          <w:sz w:val="24"/>
        </w:rPr>
      </w:pPr>
      <w:r>
        <w:rPr>
          <w:rFonts w:ascii="Times New Roman" w:hAnsi="Times New Roman" w:eastAsia="宋体" w:cs="Times New Roman"/>
          <w:sz w:val="24"/>
        </w:rPr>
        <w:t>7）与本课题有关的资料积累、参考文献、已有的前期研究成果。</w:t>
      </w:r>
    </w:p>
    <w:p w14:paraId="466131F0">
      <w:pPr>
        <w:spacing w:line="360" w:lineRule="auto"/>
        <w:ind w:firstLine="420"/>
        <w:rPr>
          <w:rFonts w:ascii="Times New Roman" w:hAnsi="Times New Roman" w:eastAsia="宋体" w:cs="Times New Roman"/>
          <w:sz w:val="24"/>
        </w:rPr>
      </w:pPr>
      <w:r>
        <w:rPr>
          <w:rFonts w:ascii="Times New Roman" w:hAnsi="Times New Roman" w:eastAsia="宋体" w:cs="Times New Roman"/>
          <w:sz w:val="24"/>
        </w:rPr>
        <w:t>2</w:t>
      </w:r>
      <w:r>
        <w:rPr>
          <w:rFonts w:hint="eastAsia" w:ascii="Times New Roman" w:hAnsi="Times New Roman" w:eastAsia="宋体" w:cs="Times New Roman"/>
          <w:sz w:val="24"/>
        </w:rPr>
        <w:t>．</w:t>
      </w:r>
      <w:r>
        <w:rPr>
          <w:rFonts w:ascii="Times New Roman" w:hAnsi="Times New Roman" w:eastAsia="宋体" w:cs="Times New Roman"/>
          <w:sz w:val="24"/>
        </w:rPr>
        <w:t>组织架构和委员会组成</w:t>
      </w:r>
    </w:p>
    <w:p w14:paraId="4BA89719">
      <w:pPr>
        <w:spacing w:line="360" w:lineRule="auto"/>
        <w:ind w:firstLine="420"/>
        <w:rPr>
          <w:rFonts w:ascii="Times New Roman" w:hAnsi="Times New Roman" w:eastAsia="宋体" w:cs="Times New Roman"/>
          <w:sz w:val="24"/>
        </w:rPr>
      </w:pPr>
      <w:bookmarkStart w:id="5" w:name="_Hlk184207218"/>
      <w:r>
        <w:rPr>
          <w:rFonts w:ascii="Times New Roman" w:hAnsi="Times New Roman" w:eastAsia="宋体" w:cs="Times New Roman"/>
          <w:sz w:val="24"/>
        </w:rPr>
        <w:t>研究生学位毕业论文开题报告采取公开答辩方式进行，由研究生学位毕业论文开题考核委员会专家组负责。</w:t>
      </w:r>
      <w:bookmarkEnd w:id="5"/>
      <w:bookmarkStart w:id="6" w:name="_Hlk184207200"/>
      <w:r>
        <w:rPr>
          <w:rFonts w:ascii="Times New Roman" w:hAnsi="Times New Roman" w:eastAsia="宋体" w:cs="Times New Roman"/>
          <w:sz w:val="24"/>
        </w:rPr>
        <w:t>考核委员会专家组不少于三人，开题报告人的学术及行业导师可以作为考核委员会专家组成员，不可作为考核委员会专家组组长。考核委员会专家组成员应为相关专业领域具有硕士研究生指导资格、高级工程师资质或具有相当专业技术职务的专家，其中一位为考核委员会专家组组长，负责主持答辩。考核小组应至少包含一位行业专家。此外，设置答辩秘书1人，负责记录考核过程、专家提问和同学回答等工作，建议由课题组成员担任。</w:t>
      </w:r>
    </w:p>
    <w:bookmarkEnd w:id="6"/>
    <w:p w14:paraId="4CFB277B">
      <w:pPr>
        <w:spacing w:line="360" w:lineRule="auto"/>
        <w:ind w:firstLine="420"/>
        <w:rPr>
          <w:rFonts w:ascii="Times New Roman" w:hAnsi="Times New Roman" w:eastAsia="宋体" w:cs="Times New Roman"/>
          <w:sz w:val="24"/>
        </w:rPr>
      </w:pPr>
      <w:r>
        <w:rPr>
          <w:rFonts w:ascii="Times New Roman" w:hAnsi="Times New Roman" w:eastAsia="宋体" w:cs="Times New Roman"/>
          <w:sz w:val="24"/>
        </w:rPr>
        <w:t>3</w:t>
      </w:r>
      <w:r>
        <w:rPr>
          <w:rFonts w:hint="eastAsia" w:ascii="Times New Roman" w:hAnsi="Times New Roman" w:eastAsia="宋体" w:cs="Times New Roman"/>
          <w:sz w:val="24"/>
        </w:rPr>
        <w:t>．</w:t>
      </w:r>
      <w:r>
        <w:rPr>
          <w:rFonts w:ascii="Times New Roman" w:hAnsi="Times New Roman" w:eastAsia="宋体" w:cs="Times New Roman"/>
          <w:sz w:val="24"/>
        </w:rPr>
        <w:t>考核流程</w:t>
      </w:r>
    </w:p>
    <w:p w14:paraId="3154F513">
      <w:pPr>
        <w:spacing w:line="360" w:lineRule="auto"/>
        <w:ind w:firstLine="420"/>
        <w:rPr>
          <w:rFonts w:ascii="Times New Roman" w:hAnsi="Times New Roman" w:eastAsia="宋体" w:cs="Times New Roman"/>
          <w:sz w:val="24"/>
        </w:rPr>
      </w:pPr>
      <w:bookmarkStart w:id="7" w:name="_Hlk184207374"/>
      <w:r>
        <w:rPr>
          <w:rFonts w:ascii="Times New Roman" w:hAnsi="Times New Roman" w:eastAsia="宋体" w:cs="Times New Roman"/>
          <w:sz w:val="24"/>
        </w:rPr>
        <w:t>考核前，学生应提前一周完成《研究生学位论文开题报告》和《研究生学位论文开题报告登记表》，并在研究生管理系统提交开题报告申请，导师应提前三天完成系统审核工作，导师审核通过后即可组织开题报告答辩。</w:t>
      </w:r>
    </w:p>
    <w:bookmarkEnd w:id="7"/>
    <w:p w14:paraId="234A995E">
      <w:pPr>
        <w:spacing w:line="360" w:lineRule="auto"/>
        <w:ind w:left="420" w:leftChars="200"/>
        <w:rPr>
          <w:rFonts w:ascii="Times New Roman" w:hAnsi="Times New Roman" w:eastAsia="宋体" w:cs="Times New Roman"/>
          <w:sz w:val="24"/>
        </w:rPr>
      </w:pPr>
      <w:r>
        <w:rPr>
          <w:rFonts w:ascii="Times New Roman" w:hAnsi="Times New Roman" w:eastAsia="宋体" w:cs="Times New Roman"/>
          <w:sz w:val="24"/>
        </w:rPr>
        <w:t>具体答辩流程如下：</w:t>
      </w:r>
    </w:p>
    <w:p w14:paraId="621F598A">
      <w:pPr>
        <w:spacing w:line="360" w:lineRule="auto"/>
        <w:ind w:left="420" w:leftChars="200"/>
        <w:rPr>
          <w:rFonts w:ascii="Times New Roman" w:hAnsi="Times New Roman" w:eastAsia="宋体" w:cs="Times New Roman"/>
          <w:sz w:val="24"/>
        </w:rPr>
      </w:pPr>
      <w:r>
        <w:rPr>
          <w:rFonts w:ascii="Times New Roman" w:hAnsi="Times New Roman" w:eastAsia="宋体" w:cs="Times New Roman"/>
          <w:sz w:val="24"/>
        </w:rPr>
        <w:t>1</w:t>
      </w:r>
      <w:r>
        <w:rPr>
          <w:rFonts w:hint="eastAsia" w:ascii="Times New Roman" w:hAnsi="Times New Roman" w:eastAsia="宋体" w:cs="Times New Roman"/>
          <w:sz w:val="24"/>
        </w:rPr>
        <w:t>）</w:t>
      </w:r>
      <w:r>
        <w:rPr>
          <w:rFonts w:ascii="Times New Roman" w:hAnsi="Times New Roman" w:eastAsia="宋体" w:cs="Times New Roman"/>
          <w:sz w:val="24"/>
        </w:rPr>
        <w:t>考核委员会专家组组长主持开题报告会议，宣布开题报告程序及有关注意事项；</w:t>
      </w:r>
    </w:p>
    <w:p w14:paraId="67BAE703">
      <w:pPr>
        <w:spacing w:line="360" w:lineRule="auto"/>
        <w:ind w:left="420" w:leftChars="200"/>
        <w:rPr>
          <w:rFonts w:ascii="Times New Roman" w:hAnsi="Times New Roman" w:eastAsia="宋体" w:cs="Times New Roman"/>
          <w:sz w:val="24"/>
        </w:rPr>
      </w:pPr>
      <w:r>
        <w:rPr>
          <w:rFonts w:ascii="Times New Roman" w:hAnsi="Times New Roman" w:eastAsia="宋体" w:cs="Times New Roman"/>
          <w:sz w:val="24"/>
        </w:rPr>
        <w:t>2</w:t>
      </w:r>
      <w:r>
        <w:rPr>
          <w:rFonts w:hint="eastAsia" w:ascii="Times New Roman" w:hAnsi="Times New Roman" w:eastAsia="宋体" w:cs="Times New Roman"/>
          <w:sz w:val="24"/>
        </w:rPr>
        <w:t>）</w:t>
      </w:r>
      <w:r>
        <w:rPr>
          <w:rFonts w:ascii="Times New Roman" w:hAnsi="Times New Roman" w:eastAsia="宋体" w:cs="Times New Roman"/>
          <w:sz w:val="24"/>
        </w:rPr>
        <w:t>研究生作开题报告（20分钟）；</w:t>
      </w:r>
    </w:p>
    <w:p w14:paraId="083D3CCE">
      <w:pPr>
        <w:spacing w:line="360" w:lineRule="auto"/>
        <w:ind w:left="420" w:leftChars="200"/>
        <w:rPr>
          <w:rFonts w:ascii="Times New Roman" w:hAnsi="Times New Roman" w:eastAsia="宋体" w:cs="Times New Roman"/>
          <w:sz w:val="24"/>
        </w:rPr>
      </w:pPr>
      <w:r>
        <w:rPr>
          <w:rFonts w:ascii="Times New Roman" w:hAnsi="Times New Roman" w:eastAsia="宋体" w:cs="Times New Roman"/>
          <w:sz w:val="24"/>
        </w:rPr>
        <w:t>3</w:t>
      </w:r>
      <w:r>
        <w:rPr>
          <w:rFonts w:hint="eastAsia" w:ascii="Times New Roman" w:hAnsi="Times New Roman" w:eastAsia="宋体" w:cs="Times New Roman"/>
          <w:sz w:val="24"/>
        </w:rPr>
        <w:t>）</w:t>
      </w:r>
      <w:r>
        <w:rPr>
          <w:rFonts w:ascii="Times New Roman" w:hAnsi="Times New Roman" w:eastAsia="宋体" w:cs="Times New Roman"/>
          <w:sz w:val="24"/>
        </w:rPr>
        <w:t>考核委员会专家组提问并提出建议（10分钟）；</w:t>
      </w:r>
    </w:p>
    <w:p w14:paraId="60A30FA2">
      <w:pPr>
        <w:spacing w:line="360" w:lineRule="auto"/>
        <w:ind w:left="420" w:leftChars="200"/>
        <w:rPr>
          <w:rFonts w:ascii="Times New Roman" w:hAnsi="Times New Roman" w:eastAsia="宋体" w:cs="Times New Roman"/>
          <w:sz w:val="24"/>
        </w:rPr>
      </w:pPr>
      <w:r>
        <w:rPr>
          <w:rFonts w:ascii="Times New Roman" w:hAnsi="Times New Roman" w:eastAsia="宋体" w:cs="Times New Roman"/>
          <w:sz w:val="24"/>
        </w:rPr>
        <w:t>4</w:t>
      </w:r>
      <w:r>
        <w:rPr>
          <w:rFonts w:hint="eastAsia" w:ascii="Times New Roman" w:hAnsi="Times New Roman" w:eastAsia="宋体" w:cs="Times New Roman"/>
          <w:sz w:val="24"/>
        </w:rPr>
        <w:t>）</w:t>
      </w:r>
      <w:r>
        <w:rPr>
          <w:rFonts w:ascii="Times New Roman" w:hAnsi="Times New Roman" w:eastAsia="宋体" w:cs="Times New Roman"/>
          <w:sz w:val="24"/>
        </w:rPr>
        <w:t>考核委员会专家组讨论并直接在系统上填报对开题报告的评价和表决结果；</w:t>
      </w:r>
    </w:p>
    <w:p w14:paraId="6A9BA06D">
      <w:pPr>
        <w:spacing w:line="360" w:lineRule="auto"/>
        <w:ind w:left="420" w:leftChars="200"/>
        <w:rPr>
          <w:rFonts w:ascii="Times New Roman" w:hAnsi="Times New Roman" w:eastAsia="宋体" w:cs="Times New Roman"/>
          <w:sz w:val="24"/>
        </w:rPr>
      </w:pPr>
      <w:r>
        <w:rPr>
          <w:rFonts w:ascii="Times New Roman" w:hAnsi="Times New Roman" w:eastAsia="宋体" w:cs="Times New Roman"/>
          <w:sz w:val="24"/>
        </w:rPr>
        <w:t>5</w:t>
      </w:r>
      <w:r>
        <w:rPr>
          <w:rFonts w:hint="eastAsia" w:ascii="Times New Roman" w:hAnsi="Times New Roman" w:eastAsia="宋体" w:cs="Times New Roman"/>
          <w:sz w:val="24"/>
        </w:rPr>
        <w:t>）</w:t>
      </w:r>
      <w:r>
        <w:rPr>
          <w:rFonts w:ascii="Times New Roman" w:hAnsi="Times New Roman" w:eastAsia="宋体" w:cs="Times New Roman"/>
          <w:sz w:val="24"/>
        </w:rPr>
        <w:t>答辩秘书整理考核记录并完成系统填报。</w:t>
      </w:r>
    </w:p>
    <w:p w14:paraId="6C41DC15">
      <w:pPr>
        <w:spacing w:line="360" w:lineRule="auto"/>
        <w:ind w:left="420" w:leftChars="200"/>
        <w:rPr>
          <w:rFonts w:ascii="Times New Roman" w:hAnsi="Times New Roman" w:eastAsia="宋体" w:cs="Times New Roman"/>
          <w:sz w:val="24"/>
        </w:rPr>
      </w:pPr>
      <w:r>
        <w:rPr>
          <w:rFonts w:ascii="Times New Roman" w:hAnsi="Times New Roman" w:eastAsia="宋体" w:cs="Times New Roman"/>
          <w:sz w:val="24"/>
        </w:rPr>
        <w:t>4</w:t>
      </w:r>
      <w:r>
        <w:rPr>
          <w:rFonts w:hint="eastAsia" w:ascii="Times New Roman" w:hAnsi="Times New Roman" w:eastAsia="宋体" w:cs="Times New Roman"/>
          <w:sz w:val="24"/>
        </w:rPr>
        <w:t>．</w:t>
      </w:r>
      <w:r>
        <w:rPr>
          <w:rFonts w:ascii="Times New Roman" w:hAnsi="Times New Roman" w:eastAsia="宋体" w:cs="Times New Roman"/>
          <w:sz w:val="24"/>
        </w:rPr>
        <w:t>考核结果</w:t>
      </w:r>
    </w:p>
    <w:p w14:paraId="2E29A89B">
      <w:pPr>
        <w:spacing w:line="360" w:lineRule="auto"/>
        <w:ind w:firstLine="420"/>
        <w:rPr>
          <w:rFonts w:ascii="Times New Roman" w:hAnsi="Times New Roman" w:eastAsia="宋体" w:cs="Times New Roman"/>
          <w:sz w:val="24"/>
        </w:rPr>
      </w:pPr>
      <w:bookmarkStart w:id="8" w:name="_Hlk184206874"/>
      <w:r>
        <w:rPr>
          <w:rFonts w:ascii="Times New Roman" w:hAnsi="Times New Roman" w:eastAsia="宋体" w:cs="Times New Roman"/>
          <w:sz w:val="24"/>
        </w:rPr>
        <w:t>考核委员会专家组</w:t>
      </w:r>
      <w:bookmarkEnd w:id="8"/>
      <w:r>
        <w:rPr>
          <w:rFonts w:ascii="Times New Roman" w:hAnsi="Times New Roman" w:eastAsia="宋体" w:cs="Times New Roman"/>
          <w:sz w:val="24"/>
        </w:rPr>
        <w:t>共同商讨后做出“通过开题”或“未通过开题”的决定。未通过开题者，由导师根据学生的情况重新安排开题。如果学生开题报告未按时完成，原则上需延长一个学期毕业。</w:t>
      </w:r>
    </w:p>
    <w:p w14:paraId="255683DB">
      <w:pPr>
        <w:spacing w:line="360" w:lineRule="auto"/>
        <w:ind w:firstLine="420"/>
        <w:rPr>
          <w:rFonts w:ascii="Times New Roman" w:hAnsi="Times New Roman" w:eastAsia="宋体" w:cs="Times New Roman"/>
          <w:sz w:val="24"/>
        </w:rPr>
      </w:pPr>
      <w:r>
        <w:rPr>
          <w:rFonts w:ascii="Times New Roman" w:hAnsi="Times New Roman" w:eastAsia="宋体" w:cs="Times New Roman"/>
          <w:sz w:val="24"/>
        </w:rPr>
        <w:t>5</w:t>
      </w:r>
      <w:r>
        <w:rPr>
          <w:rFonts w:hint="eastAsia" w:ascii="Times New Roman" w:hAnsi="Times New Roman" w:eastAsia="宋体" w:cs="Times New Roman"/>
          <w:sz w:val="24"/>
        </w:rPr>
        <w:t>．</w:t>
      </w:r>
      <w:r>
        <w:rPr>
          <w:rFonts w:ascii="Times New Roman" w:hAnsi="Times New Roman" w:eastAsia="宋体" w:cs="Times New Roman"/>
          <w:sz w:val="24"/>
        </w:rPr>
        <w:t>研究生对考核委员会专家组的决定有异议可在5个工作日内向相关委员会提出申诉</w:t>
      </w:r>
    </w:p>
    <w:p w14:paraId="030D2EFF">
      <w:pPr>
        <w:spacing w:line="360" w:lineRule="auto"/>
        <w:ind w:firstLine="420"/>
        <w:rPr>
          <w:rFonts w:ascii="Times New Roman" w:hAnsi="Times New Roman" w:eastAsia="宋体" w:cs="Times New Roman"/>
          <w:sz w:val="24"/>
        </w:rPr>
      </w:pPr>
      <w:r>
        <w:rPr>
          <w:rFonts w:ascii="Times New Roman" w:hAnsi="Times New Roman" w:eastAsia="宋体" w:cs="Times New Roman"/>
          <w:sz w:val="24"/>
        </w:rPr>
        <w:t>6</w:t>
      </w:r>
      <w:r>
        <w:rPr>
          <w:rFonts w:hint="eastAsia" w:ascii="Times New Roman" w:hAnsi="Times New Roman" w:eastAsia="宋体" w:cs="Times New Roman"/>
          <w:sz w:val="24"/>
        </w:rPr>
        <w:t>．</w:t>
      </w:r>
      <w:r>
        <w:rPr>
          <w:rFonts w:ascii="Times New Roman" w:hAnsi="Times New Roman" w:eastAsia="宋体" w:cs="Times New Roman"/>
          <w:sz w:val="24"/>
        </w:rPr>
        <w:t>开题报告距离申请学位论文答辩的时间不得少于一年</w:t>
      </w:r>
    </w:p>
    <w:p w14:paraId="2BD09639">
      <w:pPr>
        <w:ind w:firstLine="420"/>
        <w:rPr>
          <w:rFonts w:hint="eastAsia" w:ascii="黑体" w:hAnsi="黑体" w:eastAsia="黑体"/>
          <w:b/>
          <w:bCs/>
          <w:sz w:val="28"/>
          <w:szCs w:val="28"/>
        </w:rPr>
      </w:pPr>
      <w:r>
        <w:rPr>
          <w:rFonts w:ascii="黑体" w:hAnsi="黑体" w:eastAsia="黑体"/>
          <w:b/>
          <w:bCs/>
          <w:sz w:val="28"/>
          <w:szCs w:val="28"/>
        </w:rPr>
        <w:t>三、 中期考核</w:t>
      </w:r>
    </w:p>
    <w:p w14:paraId="525721B3">
      <w:pPr>
        <w:spacing w:line="360" w:lineRule="auto"/>
        <w:ind w:firstLine="420"/>
        <w:rPr>
          <w:rFonts w:ascii="Times New Roman" w:hAnsi="Times New Roman" w:eastAsia="宋体" w:cs="Times New Roman"/>
          <w:sz w:val="24"/>
        </w:rPr>
      </w:pPr>
      <w:r>
        <w:rPr>
          <w:rFonts w:ascii="Times New Roman" w:hAnsi="Times New Roman" w:eastAsia="宋体" w:cs="Times New Roman"/>
          <w:b/>
          <w:bCs/>
          <w:sz w:val="24"/>
        </w:rPr>
        <w:t>时间：</w:t>
      </w:r>
      <w:r>
        <w:rPr>
          <w:rFonts w:ascii="Times New Roman" w:hAnsi="Times New Roman" w:eastAsia="宋体" w:cs="Times New Roman"/>
          <w:sz w:val="24"/>
        </w:rPr>
        <w:t>中期考核应距离开题报告至少半年、距离答辩至少半年。</w:t>
      </w:r>
      <w:bookmarkStart w:id="9" w:name="_Hlk184824021"/>
      <w:r>
        <w:rPr>
          <w:rFonts w:ascii="Times New Roman" w:hAnsi="Times New Roman" w:eastAsia="宋体" w:cs="Times New Roman"/>
          <w:sz w:val="24"/>
        </w:rPr>
        <w:t>在导师所在单位要求的考核时间内完成考核和系统录入。</w:t>
      </w:r>
      <w:bookmarkEnd w:id="9"/>
      <w:r>
        <w:rPr>
          <w:rFonts w:ascii="Times New Roman" w:hAnsi="Times New Roman" w:eastAsia="宋体" w:cs="Times New Roman"/>
          <w:sz w:val="24"/>
        </w:rPr>
        <w:t>如果学生中期考核未按时完成，原则上需延长一个学期毕业。</w:t>
      </w:r>
    </w:p>
    <w:p w14:paraId="73B4A12C">
      <w:pPr>
        <w:spacing w:line="360" w:lineRule="auto"/>
        <w:ind w:firstLine="420"/>
        <w:rPr>
          <w:rFonts w:ascii="Times New Roman" w:hAnsi="Times New Roman" w:eastAsia="宋体" w:cs="Times New Roman"/>
          <w:sz w:val="24"/>
        </w:rPr>
      </w:pPr>
      <w:r>
        <w:rPr>
          <w:rFonts w:ascii="Times New Roman" w:hAnsi="Times New Roman" w:eastAsia="宋体" w:cs="Times New Roman"/>
          <w:b/>
          <w:bCs/>
          <w:sz w:val="24"/>
        </w:rPr>
        <w:t>地点：</w:t>
      </w:r>
      <w:r>
        <w:rPr>
          <w:rFonts w:ascii="Times New Roman" w:hAnsi="Times New Roman" w:eastAsia="宋体" w:cs="Times New Roman"/>
          <w:sz w:val="24"/>
        </w:rPr>
        <w:t>实际培养单位</w:t>
      </w:r>
      <w:r>
        <w:rPr>
          <w:rFonts w:hint="eastAsia" w:ascii="Times New Roman" w:hAnsi="Times New Roman" w:eastAsia="宋体" w:cs="Times New Roman"/>
          <w:sz w:val="24"/>
        </w:rPr>
        <w:t>。</w:t>
      </w:r>
    </w:p>
    <w:p w14:paraId="2AD0D6DD">
      <w:pPr>
        <w:spacing w:line="360" w:lineRule="auto"/>
        <w:ind w:firstLine="420"/>
        <w:rPr>
          <w:rFonts w:ascii="Times New Roman" w:hAnsi="Times New Roman" w:eastAsia="宋体" w:cs="Times New Roman"/>
          <w:sz w:val="24"/>
        </w:rPr>
      </w:pPr>
      <w:r>
        <w:rPr>
          <w:rFonts w:ascii="Times New Roman" w:hAnsi="Times New Roman" w:eastAsia="宋体" w:cs="Times New Roman"/>
          <w:b/>
          <w:bCs/>
          <w:sz w:val="24"/>
        </w:rPr>
        <w:t>形式：</w:t>
      </w:r>
      <w:r>
        <w:rPr>
          <w:rFonts w:ascii="Times New Roman" w:hAnsi="Times New Roman" w:eastAsia="宋体" w:cs="Times New Roman"/>
          <w:sz w:val="24"/>
        </w:rPr>
        <w:t>由所在培养单位自行组织。如有特殊要求，学院另行通知。</w:t>
      </w:r>
    </w:p>
    <w:p w14:paraId="28CFA57E">
      <w:pPr>
        <w:spacing w:line="360" w:lineRule="auto"/>
        <w:ind w:firstLine="420"/>
        <w:rPr>
          <w:rFonts w:ascii="Times New Roman" w:hAnsi="Times New Roman" w:eastAsia="宋体" w:cs="Times New Roman"/>
          <w:sz w:val="24"/>
        </w:rPr>
      </w:pPr>
      <w:r>
        <w:rPr>
          <w:rFonts w:ascii="Times New Roman" w:hAnsi="Times New Roman" w:eastAsia="宋体" w:cs="Times New Roman"/>
          <w:sz w:val="24"/>
        </w:rPr>
        <w:t>1</w:t>
      </w:r>
      <w:r>
        <w:rPr>
          <w:rFonts w:hint="eastAsia" w:ascii="Times New Roman" w:hAnsi="Times New Roman" w:eastAsia="宋体" w:cs="Times New Roman"/>
          <w:sz w:val="24"/>
        </w:rPr>
        <w:t>．</w:t>
      </w:r>
      <w:r>
        <w:rPr>
          <w:rFonts w:ascii="Times New Roman" w:hAnsi="Times New Roman" w:eastAsia="宋体" w:cs="Times New Roman"/>
          <w:sz w:val="24"/>
        </w:rPr>
        <w:t>考核内容</w:t>
      </w:r>
    </w:p>
    <w:p w14:paraId="410C9802">
      <w:pPr>
        <w:spacing w:line="360" w:lineRule="auto"/>
        <w:ind w:left="420" w:leftChars="200"/>
        <w:rPr>
          <w:rFonts w:ascii="Times New Roman" w:hAnsi="Times New Roman" w:eastAsia="宋体" w:cs="Times New Roman"/>
          <w:sz w:val="24"/>
        </w:rPr>
      </w:pPr>
      <w:r>
        <w:rPr>
          <w:rFonts w:ascii="Times New Roman" w:hAnsi="Times New Roman" w:eastAsia="宋体" w:cs="Times New Roman"/>
          <w:sz w:val="24"/>
        </w:rPr>
        <w:t>1）课程学习进度；</w:t>
      </w:r>
    </w:p>
    <w:p w14:paraId="6C64D4B2">
      <w:pPr>
        <w:spacing w:line="360" w:lineRule="auto"/>
        <w:ind w:left="420" w:leftChars="200"/>
        <w:rPr>
          <w:rFonts w:ascii="Times New Roman" w:hAnsi="Times New Roman" w:eastAsia="宋体" w:cs="Times New Roman"/>
          <w:sz w:val="24"/>
        </w:rPr>
      </w:pPr>
      <w:r>
        <w:rPr>
          <w:rFonts w:ascii="Times New Roman" w:hAnsi="Times New Roman" w:eastAsia="宋体" w:cs="Times New Roman"/>
          <w:sz w:val="24"/>
        </w:rPr>
        <w:t>2）</w:t>
      </w:r>
      <w:r>
        <w:rPr>
          <w:rFonts w:hint="eastAsia" w:ascii="Times New Roman" w:hAnsi="Times New Roman" w:eastAsia="宋体" w:cs="Times New Roman"/>
          <w:sz w:val="24"/>
        </w:rPr>
        <w:t>论文工作进展情况</w:t>
      </w:r>
      <w:r>
        <w:rPr>
          <w:rFonts w:ascii="Times New Roman" w:hAnsi="Times New Roman" w:eastAsia="宋体" w:cs="Times New Roman"/>
          <w:sz w:val="24"/>
        </w:rPr>
        <w:t>；</w:t>
      </w:r>
    </w:p>
    <w:p w14:paraId="28B73D36">
      <w:pPr>
        <w:spacing w:line="360" w:lineRule="auto"/>
        <w:ind w:left="420" w:leftChars="200"/>
        <w:rPr>
          <w:rFonts w:ascii="Times New Roman" w:hAnsi="Times New Roman" w:eastAsia="宋体" w:cs="Times New Roman"/>
          <w:sz w:val="24"/>
        </w:rPr>
      </w:pPr>
      <w:r>
        <w:rPr>
          <w:rFonts w:ascii="Times New Roman" w:hAnsi="Times New Roman" w:eastAsia="宋体" w:cs="Times New Roman"/>
          <w:sz w:val="24"/>
        </w:rPr>
        <w:t>3）取得的阶段性成果；</w:t>
      </w:r>
    </w:p>
    <w:p w14:paraId="54ADD489">
      <w:pPr>
        <w:spacing w:line="360" w:lineRule="auto"/>
        <w:ind w:left="420" w:leftChars="200"/>
        <w:rPr>
          <w:rFonts w:ascii="Times New Roman" w:hAnsi="Times New Roman" w:eastAsia="宋体" w:cs="Times New Roman"/>
          <w:sz w:val="24"/>
        </w:rPr>
      </w:pPr>
      <w:r>
        <w:rPr>
          <w:rFonts w:ascii="Times New Roman" w:hAnsi="Times New Roman" w:eastAsia="宋体" w:cs="Times New Roman"/>
          <w:sz w:val="24"/>
        </w:rPr>
        <w:t>4）存在的主要问题、拟解决的途径；</w:t>
      </w:r>
    </w:p>
    <w:p w14:paraId="5BCD1D38">
      <w:pPr>
        <w:spacing w:line="360" w:lineRule="auto"/>
        <w:ind w:left="420" w:leftChars="200"/>
        <w:rPr>
          <w:rFonts w:ascii="Times New Roman" w:hAnsi="Times New Roman" w:eastAsia="宋体" w:cs="Times New Roman"/>
          <w:sz w:val="24"/>
        </w:rPr>
      </w:pPr>
      <w:r>
        <w:rPr>
          <w:rFonts w:ascii="Times New Roman" w:hAnsi="Times New Roman" w:eastAsia="宋体" w:cs="Times New Roman"/>
          <w:sz w:val="24"/>
        </w:rPr>
        <w:t>5）</w:t>
      </w:r>
      <w:r>
        <w:rPr>
          <w:rFonts w:hint="eastAsia" w:ascii="Times New Roman" w:hAnsi="Times New Roman" w:eastAsia="宋体" w:cs="Times New Roman"/>
          <w:sz w:val="24"/>
        </w:rPr>
        <w:t>下一步工作计划及论文预计完成时间等</w:t>
      </w:r>
      <w:r>
        <w:rPr>
          <w:rFonts w:ascii="Times New Roman" w:hAnsi="Times New Roman" w:eastAsia="宋体" w:cs="Times New Roman"/>
          <w:sz w:val="24"/>
        </w:rPr>
        <w:t>。</w:t>
      </w:r>
    </w:p>
    <w:p w14:paraId="41A66D14">
      <w:pPr>
        <w:spacing w:line="360" w:lineRule="auto"/>
        <w:ind w:left="420" w:leftChars="200"/>
        <w:rPr>
          <w:rFonts w:ascii="Times New Roman" w:hAnsi="Times New Roman" w:eastAsia="宋体" w:cs="Times New Roman"/>
          <w:sz w:val="24"/>
        </w:rPr>
      </w:pPr>
      <w:r>
        <w:rPr>
          <w:rFonts w:ascii="Times New Roman" w:hAnsi="Times New Roman" w:eastAsia="宋体" w:cs="Times New Roman"/>
          <w:sz w:val="24"/>
        </w:rPr>
        <w:t>2</w:t>
      </w:r>
      <w:r>
        <w:rPr>
          <w:rFonts w:hint="eastAsia" w:ascii="Times New Roman" w:hAnsi="Times New Roman" w:eastAsia="宋体" w:cs="Times New Roman"/>
          <w:sz w:val="24"/>
        </w:rPr>
        <w:t>．</w:t>
      </w:r>
      <w:r>
        <w:rPr>
          <w:rFonts w:ascii="Times New Roman" w:hAnsi="Times New Roman" w:eastAsia="宋体" w:cs="Times New Roman"/>
          <w:sz w:val="24"/>
        </w:rPr>
        <w:t>组织架构和委员会组成</w:t>
      </w:r>
    </w:p>
    <w:p w14:paraId="5827E61F">
      <w:pPr>
        <w:spacing w:line="360" w:lineRule="auto"/>
        <w:ind w:firstLine="420"/>
        <w:rPr>
          <w:rFonts w:ascii="Times New Roman" w:hAnsi="Times New Roman" w:eastAsia="宋体" w:cs="Times New Roman"/>
          <w:sz w:val="24"/>
        </w:rPr>
      </w:pPr>
      <w:r>
        <w:rPr>
          <w:rFonts w:ascii="Times New Roman" w:hAnsi="Times New Roman" w:eastAsia="宋体" w:cs="Times New Roman"/>
          <w:sz w:val="24"/>
        </w:rPr>
        <w:t>研究生学位毕业论文中期考核采取公开答辩方式进行，由研究生学位毕业论文中期考核委员会专家组负责。考核委员会专家组不少于三人，</w:t>
      </w:r>
      <w:r>
        <w:rPr>
          <w:rFonts w:hint="eastAsia" w:ascii="Times New Roman" w:hAnsi="Times New Roman" w:eastAsia="宋体" w:cs="Times New Roman"/>
          <w:sz w:val="24"/>
          <w:lang w:val="en-US" w:eastAsia="zh-CN"/>
        </w:rPr>
        <w:t>中期</w:t>
      </w:r>
      <w:r>
        <w:rPr>
          <w:rFonts w:ascii="Times New Roman" w:hAnsi="Times New Roman" w:eastAsia="宋体" w:cs="Times New Roman"/>
          <w:sz w:val="24"/>
        </w:rPr>
        <w:t>报告人的学术及行业导师可以作为考核委员会专家组成员，不可作为考核委员会专家组组长。考核委员会专家组成员应为相关专业领域具有硕士研究生指导资格、高级工程师资质或具有相当专业技术职务的专家，其中一位为考核委员会专家组组长，负责主持答辩。考核小组应至少包含一位行业专家。此外，设置答辩秘书1人，负责记录考核过程、专家提问和同学回答等工作，建议由课题组成员担任。</w:t>
      </w:r>
    </w:p>
    <w:p w14:paraId="6271F0C2">
      <w:pPr>
        <w:spacing w:line="360" w:lineRule="auto"/>
        <w:ind w:firstLine="420"/>
        <w:rPr>
          <w:rFonts w:ascii="Times New Roman" w:hAnsi="Times New Roman" w:eastAsia="宋体" w:cs="Times New Roman"/>
          <w:sz w:val="24"/>
        </w:rPr>
      </w:pPr>
      <w:r>
        <w:rPr>
          <w:rFonts w:ascii="Times New Roman" w:hAnsi="Times New Roman" w:eastAsia="宋体" w:cs="Times New Roman"/>
          <w:sz w:val="24"/>
        </w:rPr>
        <w:t>3</w:t>
      </w:r>
      <w:r>
        <w:rPr>
          <w:rFonts w:hint="eastAsia" w:ascii="Times New Roman" w:hAnsi="Times New Roman" w:eastAsia="宋体" w:cs="Times New Roman"/>
          <w:sz w:val="24"/>
        </w:rPr>
        <w:t>．</w:t>
      </w:r>
      <w:r>
        <w:rPr>
          <w:rFonts w:ascii="Times New Roman" w:hAnsi="Times New Roman" w:eastAsia="宋体" w:cs="Times New Roman"/>
          <w:sz w:val="24"/>
        </w:rPr>
        <w:t>考核流程</w:t>
      </w:r>
    </w:p>
    <w:p w14:paraId="7CD5523F">
      <w:pPr>
        <w:spacing w:line="360" w:lineRule="auto"/>
        <w:ind w:firstLine="420"/>
        <w:rPr>
          <w:rFonts w:ascii="Times New Roman" w:hAnsi="Times New Roman" w:eastAsia="宋体" w:cs="Times New Roman"/>
          <w:sz w:val="24"/>
        </w:rPr>
      </w:pPr>
      <w:r>
        <w:rPr>
          <w:rFonts w:ascii="Times New Roman" w:hAnsi="Times New Roman" w:eastAsia="宋体" w:cs="Times New Roman"/>
          <w:sz w:val="24"/>
        </w:rPr>
        <w:t>考核前，学生应提前一周完成《研究生学位论文中期报告》和《研究生学位论文中期考核登记表》，并在研究生管理系统提交中期报告申请，导师应提前三天完成系统审核工作，导师审核通过后即可组织中期考核答辩。</w:t>
      </w:r>
    </w:p>
    <w:p w14:paraId="5D7C82CB">
      <w:pPr>
        <w:spacing w:line="360" w:lineRule="auto"/>
        <w:ind w:firstLine="420"/>
        <w:rPr>
          <w:rFonts w:ascii="Times New Roman" w:hAnsi="Times New Roman" w:eastAsia="宋体" w:cs="Times New Roman"/>
          <w:sz w:val="24"/>
        </w:rPr>
      </w:pPr>
      <w:r>
        <w:rPr>
          <w:rFonts w:ascii="Times New Roman" w:hAnsi="Times New Roman" w:eastAsia="宋体" w:cs="Times New Roman"/>
          <w:sz w:val="24"/>
        </w:rPr>
        <w:t>具体答辩流程如下：</w:t>
      </w:r>
    </w:p>
    <w:p w14:paraId="374B49DD">
      <w:pPr>
        <w:spacing w:line="360" w:lineRule="auto"/>
        <w:ind w:left="420" w:leftChars="200"/>
        <w:rPr>
          <w:rFonts w:ascii="Times New Roman" w:hAnsi="Times New Roman" w:eastAsia="宋体" w:cs="Times New Roman"/>
          <w:sz w:val="24"/>
        </w:rPr>
      </w:pPr>
      <w:r>
        <w:rPr>
          <w:rFonts w:ascii="Times New Roman" w:hAnsi="Times New Roman" w:eastAsia="宋体" w:cs="Times New Roman"/>
          <w:sz w:val="24"/>
        </w:rPr>
        <w:t>1）考核委员会专家组组长主持中期报告会议，宣布中期报告程序及有关注意事项；</w:t>
      </w:r>
    </w:p>
    <w:p w14:paraId="5E5D6D2A">
      <w:pPr>
        <w:spacing w:line="360" w:lineRule="auto"/>
        <w:ind w:left="420" w:leftChars="200"/>
        <w:rPr>
          <w:rFonts w:ascii="Times New Roman" w:hAnsi="Times New Roman" w:eastAsia="宋体" w:cs="Times New Roman"/>
          <w:sz w:val="24"/>
        </w:rPr>
      </w:pPr>
      <w:r>
        <w:rPr>
          <w:rFonts w:ascii="Times New Roman" w:hAnsi="Times New Roman" w:eastAsia="宋体" w:cs="Times New Roman"/>
          <w:sz w:val="24"/>
        </w:rPr>
        <w:t>2）研究生作中期报告（20分钟）；</w:t>
      </w:r>
    </w:p>
    <w:p w14:paraId="4131C1D8">
      <w:pPr>
        <w:spacing w:line="360" w:lineRule="auto"/>
        <w:ind w:left="420" w:leftChars="200"/>
        <w:rPr>
          <w:rFonts w:ascii="Times New Roman" w:hAnsi="Times New Roman" w:eastAsia="宋体" w:cs="Times New Roman"/>
          <w:sz w:val="24"/>
        </w:rPr>
      </w:pPr>
      <w:r>
        <w:rPr>
          <w:rFonts w:ascii="Times New Roman" w:hAnsi="Times New Roman" w:eastAsia="宋体" w:cs="Times New Roman"/>
          <w:sz w:val="24"/>
        </w:rPr>
        <w:t>3）考核委员会专家组提问并提出建议（10分钟）；</w:t>
      </w:r>
    </w:p>
    <w:p w14:paraId="1AA2F20A">
      <w:pPr>
        <w:spacing w:line="360" w:lineRule="auto"/>
        <w:ind w:left="420" w:leftChars="200"/>
        <w:rPr>
          <w:rFonts w:ascii="Times New Roman" w:hAnsi="Times New Roman" w:eastAsia="宋体" w:cs="Times New Roman"/>
          <w:sz w:val="24"/>
        </w:rPr>
      </w:pPr>
      <w:r>
        <w:rPr>
          <w:rFonts w:ascii="Times New Roman" w:hAnsi="Times New Roman" w:eastAsia="宋体" w:cs="Times New Roman"/>
          <w:sz w:val="24"/>
        </w:rPr>
        <w:t>4）考核委员会专家组讨论并直接在系统上填报对中期报告的评价和表决结果；</w:t>
      </w:r>
    </w:p>
    <w:p w14:paraId="782C2439">
      <w:pPr>
        <w:spacing w:line="360" w:lineRule="auto"/>
        <w:ind w:left="420" w:leftChars="200"/>
        <w:rPr>
          <w:rFonts w:ascii="Times New Roman" w:hAnsi="Times New Roman" w:eastAsia="宋体" w:cs="Times New Roman"/>
          <w:sz w:val="24"/>
        </w:rPr>
      </w:pPr>
      <w:r>
        <w:rPr>
          <w:rFonts w:ascii="Times New Roman" w:hAnsi="Times New Roman" w:eastAsia="宋体" w:cs="Times New Roman"/>
          <w:sz w:val="24"/>
        </w:rPr>
        <w:t>5）答辩秘书整理考核记录并完成系统填报。</w:t>
      </w:r>
    </w:p>
    <w:p w14:paraId="0F674951">
      <w:pPr>
        <w:spacing w:line="360" w:lineRule="auto"/>
        <w:ind w:left="420" w:leftChars="200"/>
        <w:rPr>
          <w:rFonts w:ascii="Times New Roman" w:hAnsi="Times New Roman" w:eastAsia="宋体" w:cs="Times New Roman"/>
          <w:sz w:val="24"/>
        </w:rPr>
      </w:pPr>
      <w:r>
        <w:rPr>
          <w:rFonts w:ascii="Times New Roman" w:hAnsi="Times New Roman" w:eastAsia="宋体" w:cs="Times New Roman"/>
          <w:sz w:val="24"/>
        </w:rPr>
        <w:t>4</w:t>
      </w:r>
      <w:r>
        <w:rPr>
          <w:rFonts w:hint="eastAsia" w:ascii="Times New Roman" w:hAnsi="Times New Roman" w:eastAsia="宋体" w:cs="Times New Roman"/>
          <w:sz w:val="24"/>
        </w:rPr>
        <w:t>．</w:t>
      </w:r>
      <w:r>
        <w:rPr>
          <w:rFonts w:ascii="Times New Roman" w:hAnsi="Times New Roman" w:eastAsia="宋体" w:cs="Times New Roman"/>
          <w:sz w:val="24"/>
        </w:rPr>
        <w:t>考核结果</w:t>
      </w:r>
    </w:p>
    <w:p w14:paraId="2D305048">
      <w:pPr>
        <w:spacing w:line="360" w:lineRule="auto"/>
        <w:ind w:firstLine="420"/>
        <w:rPr>
          <w:rFonts w:ascii="Times New Roman" w:hAnsi="Times New Roman" w:eastAsia="宋体" w:cs="Times New Roman"/>
          <w:sz w:val="24"/>
        </w:rPr>
      </w:pPr>
      <w:r>
        <w:rPr>
          <w:rFonts w:ascii="Times New Roman" w:hAnsi="Times New Roman" w:eastAsia="宋体" w:cs="Times New Roman"/>
          <w:sz w:val="24"/>
        </w:rPr>
        <w:t>考核委员会专家组共同商讨后做出“通过中期考核”或“未通过中期考核”的决定。未通过考核者，由导师根据学生的情况重新安排考核。如果学生中期考核未按时完成，原则上需延长一个学期毕业。</w:t>
      </w:r>
    </w:p>
    <w:p w14:paraId="49DA9C3E">
      <w:pPr>
        <w:spacing w:line="360" w:lineRule="auto"/>
        <w:ind w:firstLine="420"/>
        <w:rPr>
          <w:rFonts w:ascii="Times New Roman" w:hAnsi="Times New Roman" w:eastAsia="宋体" w:cs="Times New Roman"/>
          <w:sz w:val="24"/>
        </w:rPr>
      </w:pPr>
      <w:r>
        <w:rPr>
          <w:rFonts w:ascii="Times New Roman" w:hAnsi="Times New Roman" w:eastAsia="宋体" w:cs="Times New Roman"/>
          <w:sz w:val="24"/>
        </w:rPr>
        <w:t>5</w:t>
      </w:r>
      <w:r>
        <w:rPr>
          <w:rFonts w:hint="eastAsia" w:ascii="Times New Roman" w:hAnsi="Times New Roman" w:eastAsia="宋体" w:cs="Times New Roman"/>
          <w:sz w:val="24"/>
        </w:rPr>
        <w:t>．</w:t>
      </w:r>
      <w:r>
        <w:rPr>
          <w:rFonts w:ascii="Times New Roman" w:hAnsi="Times New Roman" w:eastAsia="宋体" w:cs="Times New Roman"/>
          <w:sz w:val="24"/>
        </w:rPr>
        <w:t>研究生对考核委员会专家组的决定有异议可在5个工作日内向相关委员会提出申诉</w:t>
      </w:r>
    </w:p>
    <w:p w14:paraId="62A8C605">
      <w:pPr>
        <w:spacing w:line="360" w:lineRule="auto"/>
        <w:ind w:firstLine="420"/>
        <w:rPr>
          <w:rFonts w:ascii="Times New Roman" w:hAnsi="Times New Roman" w:eastAsia="宋体" w:cs="Times New Roman"/>
          <w:sz w:val="24"/>
        </w:rPr>
      </w:pPr>
      <w:r>
        <w:rPr>
          <w:rFonts w:ascii="Times New Roman" w:hAnsi="Times New Roman" w:eastAsia="宋体" w:cs="Times New Roman"/>
          <w:sz w:val="24"/>
        </w:rPr>
        <w:t>6</w:t>
      </w:r>
      <w:r>
        <w:rPr>
          <w:rFonts w:hint="eastAsia" w:ascii="Times New Roman" w:hAnsi="Times New Roman" w:eastAsia="宋体" w:cs="Times New Roman"/>
          <w:sz w:val="24"/>
        </w:rPr>
        <w:t>．</w:t>
      </w:r>
      <w:r>
        <w:rPr>
          <w:rFonts w:ascii="Times New Roman" w:hAnsi="Times New Roman" w:eastAsia="宋体" w:cs="Times New Roman"/>
          <w:sz w:val="24"/>
        </w:rPr>
        <w:t>原则上中期考核通过至少一学期后方可申请硕士学位论文答辩</w:t>
      </w:r>
    </w:p>
    <w:p w14:paraId="6C14D353">
      <w:pPr>
        <w:spacing w:line="360" w:lineRule="auto"/>
        <w:ind w:right="420"/>
        <w:rPr>
          <w:rFonts w:ascii="Times New Roman" w:hAnsi="Times New Roman" w:eastAsia="宋体" w:cs="Times New Roman"/>
          <w:sz w:val="24"/>
        </w:rPr>
      </w:pPr>
    </w:p>
    <w:p w14:paraId="2A712CFA">
      <w:pPr>
        <w:spacing w:line="360" w:lineRule="auto"/>
        <w:ind w:right="420"/>
        <w:rPr>
          <w:rFonts w:ascii="Times New Roman" w:hAnsi="Times New Roman" w:eastAsia="宋体" w:cs="Times New Roman"/>
          <w:sz w:val="24"/>
        </w:rPr>
      </w:pPr>
    </w:p>
    <w:p w14:paraId="14F03204">
      <w:pPr>
        <w:spacing w:line="360" w:lineRule="auto"/>
        <w:ind w:right="420"/>
        <w:rPr>
          <w:rFonts w:ascii="Times New Roman" w:hAnsi="Times New Roman" w:eastAsia="宋体" w:cs="Times New Roman"/>
          <w:sz w:val="24"/>
        </w:rPr>
      </w:pPr>
    </w:p>
    <w:p w14:paraId="7FC1A34D">
      <w:pPr>
        <w:spacing w:line="360" w:lineRule="auto"/>
        <w:jc w:val="right"/>
        <w:rPr>
          <w:rFonts w:ascii="Times New Roman" w:hAnsi="Times New Roman" w:eastAsia="宋体" w:cs="Times New Roman"/>
          <w:sz w:val="24"/>
        </w:rPr>
      </w:pPr>
      <w:bookmarkStart w:id="10" w:name="OLE_LINK4"/>
      <w:r>
        <w:rPr>
          <w:rFonts w:ascii="Times New Roman" w:hAnsi="Times New Roman" w:eastAsia="宋体" w:cs="Times New Roman"/>
          <w:sz w:val="24"/>
        </w:rPr>
        <w:t>上海科技大学</w:t>
      </w:r>
    </w:p>
    <w:p w14:paraId="42A2B9FB">
      <w:pPr>
        <w:spacing w:line="360" w:lineRule="auto"/>
        <w:jc w:val="right"/>
        <w:rPr>
          <w:rFonts w:ascii="Times New Roman" w:hAnsi="Times New Roman" w:eastAsia="宋体" w:cs="Times New Roman"/>
          <w:sz w:val="24"/>
        </w:rPr>
      </w:pPr>
      <w:r>
        <w:rPr>
          <w:rFonts w:ascii="Times New Roman" w:hAnsi="Times New Roman" w:eastAsia="宋体" w:cs="Times New Roman"/>
          <w:sz w:val="24"/>
        </w:rPr>
        <w:t>创意与艺术学院</w:t>
      </w:r>
    </w:p>
    <w:p w14:paraId="1D88D128">
      <w:pPr>
        <w:spacing w:line="360" w:lineRule="auto"/>
        <w:jc w:val="right"/>
        <w:rPr>
          <w:rFonts w:ascii="Times New Roman" w:hAnsi="Times New Roman" w:eastAsia="宋体" w:cs="Times New Roman"/>
          <w:sz w:val="24"/>
        </w:rPr>
      </w:pPr>
      <w:r>
        <w:rPr>
          <w:rFonts w:ascii="Times New Roman" w:hAnsi="Times New Roman" w:eastAsia="宋体" w:cs="Times New Roman"/>
          <w:sz w:val="24"/>
        </w:rPr>
        <w:t>202</w:t>
      </w:r>
      <w:r>
        <w:rPr>
          <w:rFonts w:hint="eastAsia" w:ascii="Times New Roman" w:hAnsi="Times New Roman" w:eastAsia="宋体" w:cs="Times New Roman"/>
          <w:sz w:val="24"/>
          <w:lang w:val="en-US" w:eastAsia="zh-CN"/>
        </w:rPr>
        <w:t>6</w:t>
      </w:r>
      <w:r>
        <w:rPr>
          <w:rFonts w:ascii="Times New Roman" w:hAnsi="Times New Roman" w:eastAsia="宋体" w:cs="Times New Roman"/>
          <w:sz w:val="24"/>
        </w:rPr>
        <w:t>年</w:t>
      </w:r>
      <w:bookmarkEnd w:id="10"/>
      <w:bookmarkStart w:id="11" w:name="_GoBack"/>
      <w:bookmarkEnd w:id="1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BkZmUyYzYyZDBjMDQ2MWUxN2ZlMjUzMDI5ZTQzZTEifQ=="/>
  </w:docVars>
  <w:rsids>
    <w:rsidRoot w:val="00DE6868"/>
    <w:rsid w:val="00024686"/>
    <w:rsid w:val="000362BB"/>
    <w:rsid w:val="00036E64"/>
    <w:rsid w:val="0004570C"/>
    <w:rsid w:val="000457DB"/>
    <w:rsid w:val="000511F1"/>
    <w:rsid w:val="001017BA"/>
    <w:rsid w:val="00142C59"/>
    <w:rsid w:val="00152064"/>
    <w:rsid w:val="001D69C3"/>
    <w:rsid w:val="001D77E5"/>
    <w:rsid w:val="00216E3C"/>
    <w:rsid w:val="0023221A"/>
    <w:rsid w:val="00260E5D"/>
    <w:rsid w:val="002C40F7"/>
    <w:rsid w:val="002F7BD8"/>
    <w:rsid w:val="00320239"/>
    <w:rsid w:val="003354EC"/>
    <w:rsid w:val="00356792"/>
    <w:rsid w:val="003701DB"/>
    <w:rsid w:val="00381DBF"/>
    <w:rsid w:val="003863F2"/>
    <w:rsid w:val="003A01B3"/>
    <w:rsid w:val="003B2297"/>
    <w:rsid w:val="003C39C7"/>
    <w:rsid w:val="003C6350"/>
    <w:rsid w:val="003F28FA"/>
    <w:rsid w:val="004107CC"/>
    <w:rsid w:val="00421B54"/>
    <w:rsid w:val="00440C39"/>
    <w:rsid w:val="004466B9"/>
    <w:rsid w:val="004652BE"/>
    <w:rsid w:val="004874C8"/>
    <w:rsid w:val="004A7E81"/>
    <w:rsid w:val="004B0947"/>
    <w:rsid w:val="004C4908"/>
    <w:rsid w:val="004C5BD4"/>
    <w:rsid w:val="004F3214"/>
    <w:rsid w:val="00545A86"/>
    <w:rsid w:val="005A7C13"/>
    <w:rsid w:val="005E07CF"/>
    <w:rsid w:val="006556C1"/>
    <w:rsid w:val="0068762B"/>
    <w:rsid w:val="00693F1B"/>
    <w:rsid w:val="006E51B5"/>
    <w:rsid w:val="007005C7"/>
    <w:rsid w:val="00702084"/>
    <w:rsid w:val="007344EC"/>
    <w:rsid w:val="007C7A7F"/>
    <w:rsid w:val="00802C3E"/>
    <w:rsid w:val="00806F7B"/>
    <w:rsid w:val="008314FE"/>
    <w:rsid w:val="00845556"/>
    <w:rsid w:val="008642A1"/>
    <w:rsid w:val="00864ED8"/>
    <w:rsid w:val="008A27B7"/>
    <w:rsid w:val="008A7B9C"/>
    <w:rsid w:val="008E0299"/>
    <w:rsid w:val="0090397E"/>
    <w:rsid w:val="00921708"/>
    <w:rsid w:val="00927EF6"/>
    <w:rsid w:val="00955C50"/>
    <w:rsid w:val="009A1C05"/>
    <w:rsid w:val="009B4033"/>
    <w:rsid w:val="00A17BE4"/>
    <w:rsid w:val="00A325EC"/>
    <w:rsid w:val="00A635F6"/>
    <w:rsid w:val="00A7637A"/>
    <w:rsid w:val="00A810B6"/>
    <w:rsid w:val="00A8160F"/>
    <w:rsid w:val="00A8346B"/>
    <w:rsid w:val="00AB0AA8"/>
    <w:rsid w:val="00AC16FC"/>
    <w:rsid w:val="00AC2631"/>
    <w:rsid w:val="00AE455C"/>
    <w:rsid w:val="00AF196B"/>
    <w:rsid w:val="00B410AA"/>
    <w:rsid w:val="00B41CC7"/>
    <w:rsid w:val="00B4666D"/>
    <w:rsid w:val="00B53AC2"/>
    <w:rsid w:val="00B556A8"/>
    <w:rsid w:val="00B63A23"/>
    <w:rsid w:val="00B644DB"/>
    <w:rsid w:val="00BB3FAB"/>
    <w:rsid w:val="00BE4C74"/>
    <w:rsid w:val="00BF4ADA"/>
    <w:rsid w:val="00BF7145"/>
    <w:rsid w:val="00C33E15"/>
    <w:rsid w:val="00C7395B"/>
    <w:rsid w:val="00C76F91"/>
    <w:rsid w:val="00CE3D3D"/>
    <w:rsid w:val="00D22FDA"/>
    <w:rsid w:val="00D31522"/>
    <w:rsid w:val="00D35DE3"/>
    <w:rsid w:val="00D62B29"/>
    <w:rsid w:val="00D77F39"/>
    <w:rsid w:val="00DB735B"/>
    <w:rsid w:val="00DE6868"/>
    <w:rsid w:val="00DF5CAC"/>
    <w:rsid w:val="00E131BE"/>
    <w:rsid w:val="00E26072"/>
    <w:rsid w:val="00E35E42"/>
    <w:rsid w:val="00EB0B56"/>
    <w:rsid w:val="00EB5B5C"/>
    <w:rsid w:val="00ED244A"/>
    <w:rsid w:val="00ED5717"/>
    <w:rsid w:val="00ED6DA9"/>
    <w:rsid w:val="00F10A2C"/>
    <w:rsid w:val="00F14075"/>
    <w:rsid w:val="00F23E78"/>
    <w:rsid w:val="00F30E69"/>
    <w:rsid w:val="00FA453F"/>
    <w:rsid w:val="00FA7C15"/>
    <w:rsid w:val="00FC6AFB"/>
    <w:rsid w:val="00FD739F"/>
    <w:rsid w:val="00FF61CF"/>
    <w:rsid w:val="04F65C69"/>
    <w:rsid w:val="08C90F9B"/>
    <w:rsid w:val="23362FEA"/>
    <w:rsid w:val="25372AD3"/>
    <w:rsid w:val="29683F9D"/>
    <w:rsid w:val="3C386D5C"/>
    <w:rsid w:val="67A27D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1"/>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2"/>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3"/>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4"/>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5"/>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6"/>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7"/>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8"/>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9"/>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1"/>
    <w:semiHidden/>
    <w:unhideWhenUsed/>
    <w:qFormat/>
    <w:uiPriority w:val="99"/>
    <w:pPr>
      <w:jc w:val="left"/>
    </w:pPr>
  </w:style>
  <w:style w:type="paragraph" w:styleId="12">
    <w:name w:val="Balloon Text"/>
    <w:basedOn w:val="1"/>
    <w:link w:val="45"/>
    <w:semiHidden/>
    <w:unhideWhenUsed/>
    <w:qFormat/>
    <w:uiPriority w:val="99"/>
    <w:rPr>
      <w:sz w:val="18"/>
      <w:szCs w:val="18"/>
    </w:rPr>
  </w:style>
  <w:style w:type="paragraph" w:styleId="13">
    <w:name w:val="footer"/>
    <w:basedOn w:val="1"/>
    <w:link w:val="44"/>
    <w:unhideWhenUsed/>
    <w:qFormat/>
    <w:uiPriority w:val="99"/>
    <w:pPr>
      <w:tabs>
        <w:tab w:val="center" w:pos="4153"/>
        <w:tab w:val="right" w:pos="8306"/>
      </w:tabs>
      <w:snapToGrid w:val="0"/>
      <w:jc w:val="left"/>
    </w:pPr>
    <w:rPr>
      <w:sz w:val="18"/>
      <w:szCs w:val="18"/>
    </w:rPr>
  </w:style>
  <w:style w:type="paragraph" w:styleId="14">
    <w:name w:val="header"/>
    <w:basedOn w:val="1"/>
    <w:link w:val="43"/>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Subtitle"/>
    <w:basedOn w:val="1"/>
    <w:next w:val="1"/>
    <w:link w:val="31"/>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Title"/>
    <w:basedOn w:val="1"/>
    <w:next w:val="1"/>
    <w:link w:val="30"/>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17">
    <w:name w:val="annotation subject"/>
    <w:basedOn w:val="11"/>
    <w:next w:val="11"/>
    <w:link w:val="42"/>
    <w:semiHidden/>
    <w:unhideWhenUsed/>
    <w:qFormat/>
    <w:uiPriority w:val="99"/>
    <w:rPr>
      <w:b/>
      <w:bCs/>
    </w:rPr>
  </w:style>
  <w:style w:type="character" w:styleId="20">
    <w:name w:val="annotation reference"/>
    <w:basedOn w:val="19"/>
    <w:semiHidden/>
    <w:unhideWhenUsed/>
    <w:qFormat/>
    <w:uiPriority w:val="99"/>
    <w:rPr>
      <w:sz w:val="21"/>
      <w:szCs w:val="21"/>
    </w:rPr>
  </w:style>
  <w:style w:type="character" w:customStyle="1" w:styleId="21">
    <w:name w:val="标题 1 字符"/>
    <w:basedOn w:val="19"/>
    <w:link w:val="2"/>
    <w:qFormat/>
    <w:uiPriority w:val="9"/>
    <w:rPr>
      <w:rFonts w:asciiTheme="majorHAnsi" w:hAnsiTheme="majorHAnsi" w:eastAsiaTheme="majorEastAsia" w:cstheme="majorBidi"/>
      <w:color w:val="104862" w:themeColor="accent1" w:themeShade="BF"/>
      <w:sz w:val="48"/>
      <w:szCs w:val="48"/>
    </w:rPr>
  </w:style>
  <w:style w:type="character" w:customStyle="1" w:styleId="22">
    <w:name w:val="标题 2 字符"/>
    <w:basedOn w:val="19"/>
    <w:link w:val="3"/>
    <w:qFormat/>
    <w:uiPriority w:val="9"/>
    <w:rPr>
      <w:rFonts w:asciiTheme="majorHAnsi" w:hAnsiTheme="majorHAnsi" w:eastAsiaTheme="majorEastAsia" w:cstheme="majorBidi"/>
      <w:color w:val="104862" w:themeColor="accent1" w:themeShade="BF"/>
      <w:sz w:val="40"/>
      <w:szCs w:val="40"/>
    </w:rPr>
  </w:style>
  <w:style w:type="character" w:customStyle="1" w:styleId="23">
    <w:name w:val="标题 3 字符"/>
    <w:basedOn w:val="19"/>
    <w:link w:val="4"/>
    <w:qFormat/>
    <w:uiPriority w:val="9"/>
    <w:rPr>
      <w:rFonts w:asciiTheme="majorHAnsi" w:hAnsiTheme="majorHAnsi" w:eastAsiaTheme="majorEastAsia" w:cstheme="majorBidi"/>
      <w:color w:val="104862" w:themeColor="accent1" w:themeShade="BF"/>
      <w:sz w:val="32"/>
      <w:szCs w:val="32"/>
    </w:rPr>
  </w:style>
  <w:style w:type="character" w:customStyle="1" w:styleId="24">
    <w:name w:val="标题 4 字符"/>
    <w:basedOn w:val="19"/>
    <w:link w:val="5"/>
    <w:semiHidden/>
    <w:qFormat/>
    <w:uiPriority w:val="9"/>
    <w:rPr>
      <w:rFonts w:cstheme="majorBidi"/>
      <w:color w:val="104862" w:themeColor="accent1" w:themeShade="BF"/>
      <w:sz w:val="28"/>
      <w:szCs w:val="28"/>
    </w:rPr>
  </w:style>
  <w:style w:type="character" w:customStyle="1" w:styleId="25">
    <w:name w:val="标题 5 字符"/>
    <w:basedOn w:val="19"/>
    <w:link w:val="6"/>
    <w:semiHidden/>
    <w:qFormat/>
    <w:uiPriority w:val="9"/>
    <w:rPr>
      <w:rFonts w:cstheme="majorBidi"/>
      <w:color w:val="104862" w:themeColor="accent1" w:themeShade="BF"/>
      <w:sz w:val="24"/>
    </w:rPr>
  </w:style>
  <w:style w:type="character" w:customStyle="1" w:styleId="26">
    <w:name w:val="标题 6 字符"/>
    <w:basedOn w:val="19"/>
    <w:link w:val="7"/>
    <w:semiHidden/>
    <w:qFormat/>
    <w:uiPriority w:val="9"/>
    <w:rPr>
      <w:rFonts w:cstheme="majorBidi"/>
      <w:b/>
      <w:bCs/>
      <w:color w:val="104862" w:themeColor="accent1" w:themeShade="BF"/>
    </w:rPr>
  </w:style>
  <w:style w:type="character" w:customStyle="1" w:styleId="27">
    <w:name w:val="标题 7 字符"/>
    <w:basedOn w:val="19"/>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8">
    <w:name w:val="标题 8 字符"/>
    <w:basedOn w:val="19"/>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9">
    <w:name w:val="标题 9 字符"/>
    <w:basedOn w:val="19"/>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0">
    <w:name w:val="标题 字符"/>
    <w:basedOn w:val="19"/>
    <w:link w:val="16"/>
    <w:qFormat/>
    <w:uiPriority w:val="10"/>
    <w:rPr>
      <w:rFonts w:asciiTheme="majorHAnsi" w:hAnsiTheme="majorHAnsi" w:eastAsiaTheme="majorEastAsia" w:cstheme="majorBidi"/>
      <w:spacing w:val="-10"/>
      <w:kern w:val="28"/>
      <w:sz w:val="56"/>
      <w:szCs w:val="56"/>
    </w:rPr>
  </w:style>
  <w:style w:type="character" w:customStyle="1" w:styleId="31">
    <w:name w:val="副标题 字符"/>
    <w:basedOn w:val="19"/>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2">
    <w:name w:val="Quote"/>
    <w:basedOn w:val="1"/>
    <w:next w:val="1"/>
    <w:link w:val="33"/>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3">
    <w:name w:val="引用 字符"/>
    <w:basedOn w:val="19"/>
    <w:link w:val="32"/>
    <w:qFormat/>
    <w:uiPriority w:val="29"/>
    <w:rPr>
      <w:i/>
      <w:iCs/>
      <w:color w:val="404040" w:themeColor="text1" w:themeTint="BF"/>
      <w14:textFill>
        <w14:solidFill>
          <w14:schemeClr w14:val="tx1">
            <w14:lumMod w14:val="75000"/>
            <w14:lumOff w14:val="25000"/>
          </w14:schemeClr>
        </w14:solidFill>
      </w14:textFill>
    </w:rPr>
  </w:style>
  <w:style w:type="paragraph" w:styleId="34">
    <w:name w:val="List Paragraph"/>
    <w:basedOn w:val="1"/>
    <w:qFormat/>
    <w:uiPriority w:val="34"/>
    <w:pPr>
      <w:ind w:left="720"/>
      <w:contextualSpacing/>
    </w:pPr>
  </w:style>
  <w:style w:type="character" w:customStyle="1" w:styleId="35">
    <w:name w:val="明显强调1"/>
    <w:basedOn w:val="19"/>
    <w:qFormat/>
    <w:uiPriority w:val="21"/>
    <w:rPr>
      <w:i/>
      <w:iCs/>
      <w:color w:val="104862" w:themeColor="accent1" w:themeShade="BF"/>
    </w:rPr>
  </w:style>
  <w:style w:type="paragraph" w:styleId="36">
    <w:name w:val="Intense Quote"/>
    <w:basedOn w:val="1"/>
    <w:next w:val="1"/>
    <w:link w:val="37"/>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7">
    <w:name w:val="明显引用 字符"/>
    <w:basedOn w:val="19"/>
    <w:link w:val="36"/>
    <w:qFormat/>
    <w:uiPriority w:val="30"/>
    <w:rPr>
      <w:i/>
      <w:iCs/>
      <w:color w:val="104862" w:themeColor="accent1" w:themeShade="BF"/>
    </w:rPr>
  </w:style>
  <w:style w:type="character" w:customStyle="1" w:styleId="38">
    <w:name w:val="明显参考1"/>
    <w:basedOn w:val="19"/>
    <w:qFormat/>
    <w:uiPriority w:val="32"/>
    <w:rPr>
      <w:b/>
      <w:bCs/>
      <w:smallCaps/>
      <w:color w:val="104862" w:themeColor="accent1" w:themeShade="BF"/>
      <w:spacing w:val="5"/>
    </w:rPr>
  </w:style>
  <w:style w:type="paragraph" w:styleId="39">
    <w:name w:val="No Spacing"/>
    <w:qFormat/>
    <w:uiPriority w:val="1"/>
    <w:pPr>
      <w:widowControl w:val="0"/>
      <w:jc w:val="both"/>
    </w:pPr>
    <w:rPr>
      <w:rFonts w:asciiTheme="minorHAnsi" w:hAnsiTheme="minorHAnsi" w:eastAsiaTheme="minorEastAsia" w:cstheme="minorBidi"/>
      <w:kern w:val="2"/>
      <w:sz w:val="21"/>
      <w:szCs w:val="24"/>
      <w:lang w:val="en-US" w:eastAsia="zh-CN" w:bidi="ar-SA"/>
    </w:rPr>
  </w:style>
  <w:style w:type="paragraph" w:customStyle="1" w:styleId="40">
    <w:name w:val="修订1"/>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41">
    <w:name w:val="批注文字 字符"/>
    <w:basedOn w:val="19"/>
    <w:link w:val="11"/>
    <w:semiHidden/>
    <w:qFormat/>
    <w:uiPriority w:val="99"/>
  </w:style>
  <w:style w:type="character" w:customStyle="1" w:styleId="42">
    <w:name w:val="批注主题 字符"/>
    <w:basedOn w:val="41"/>
    <w:link w:val="17"/>
    <w:semiHidden/>
    <w:qFormat/>
    <w:uiPriority w:val="99"/>
    <w:rPr>
      <w:b/>
      <w:bCs/>
    </w:rPr>
  </w:style>
  <w:style w:type="character" w:customStyle="1" w:styleId="43">
    <w:name w:val="页眉 字符"/>
    <w:basedOn w:val="19"/>
    <w:link w:val="14"/>
    <w:qFormat/>
    <w:uiPriority w:val="99"/>
    <w:rPr>
      <w:sz w:val="18"/>
      <w:szCs w:val="18"/>
    </w:rPr>
  </w:style>
  <w:style w:type="character" w:customStyle="1" w:styleId="44">
    <w:name w:val="页脚 字符"/>
    <w:basedOn w:val="19"/>
    <w:link w:val="13"/>
    <w:qFormat/>
    <w:uiPriority w:val="99"/>
    <w:rPr>
      <w:sz w:val="18"/>
      <w:szCs w:val="18"/>
    </w:rPr>
  </w:style>
  <w:style w:type="character" w:customStyle="1" w:styleId="45">
    <w:name w:val="批注框文本 字符"/>
    <w:basedOn w:val="19"/>
    <w:link w:val="12"/>
    <w:semiHidden/>
    <w:qFormat/>
    <w:uiPriority w:val="99"/>
    <w:rPr>
      <w:sz w:val="18"/>
      <w:szCs w:val="18"/>
    </w:rPr>
  </w:style>
  <w:style w:type="paragraph" w:customStyle="1" w:styleId="46">
    <w:name w:val="Revision"/>
    <w:hidden/>
    <w:semiHidden/>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1928</Words>
  <Characters>1946</Characters>
  <Lines>14</Lines>
  <Paragraphs>4</Paragraphs>
  <TotalTime>15</TotalTime>
  <ScaleCrop>false</ScaleCrop>
  <LinksUpToDate>false</LinksUpToDate>
  <CharactersWithSpaces>1948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2024-12-11T06:48:00Z</dcterms:created>
  <dc:creator>yufei zhang</dc:creator>
  <cp:lastModifiedBy>谢明江</cp:lastModifiedBy>
  <cp:lastPrinted>2025-01-20T07:18:00Z</cp:lastPrinted>
  <dcterms:modified xsi:type="dcterms:W3CDTF">2026-08-25T01:10:32Z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eyJoZGlkIjoiZGVjMDI1OTQxNzJlMTgyYWQ2OGRjNTg1NTQxOGNmMzEiLCJ1c2VySWQiOiIzMTQ2ODg5NDcifQ==</vt:lpwstr>
  </property>
  <property fmtid="{D5CDD505-2E9C-101B-9397-08002B2CF9AE}" pid="3" name="KSOProductBuildVer">
    <vt:lpwstr>2052-12.1.0.23542</vt:lpwstr>
  </property>
  <property fmtid="{D5CDD505-2E9C-101B-9397-08002B2CF9AE}" pid="4" name="ICV">
    <vt:lpwstr>CA4B9CD593384A3BA6B4F508076949ED_12</vt:lpwstr>
  </property>
</Properties>
</file>